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E3C" w:rsidRPr="003D67A1" w:rsidRDefault="00684E3C" w:rsidP="00E36D33">
      <w:pPr>
        <w:spacing w:after="120"/>
        <w:ind w:right="736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3D67A1">
        <w:rPr>
          <w:rFonts w:ascii="Calibri" w:hAnsi="Calibri" w:cs="Calibri"/>
          <w:b/>
          <w:sz w:val="24"/>
          <w:szCs w:val="24"/>
        </w:rPr>
        <w:t>Prix et dons de la Fondation BCV attribués dès 1995</w:t>
      </w:r>
    </w:p>
    <w:p w:rsidR="00684E3C" w:rsidRPr="003D67A1" w:rsidRDefault="00684E3C" w:rsidP="00E36D33">
      <w:pPr>
        <w:spacing w:after="120"/>
        <w:ind w:left="567"/>
        <w:jc w:val="both"/>
        <w:rPr>
          <w:rFonts w:ascii="Calibri" w:hAnsi="Calibri" w:cs="Calibri"/>
          <w:sz w:val="22"/>
          <w:szCs w:val="22"/>
        </w:rPr>
      </w:pPr>
    </w:p>
    <w:p w:rsidR="00684E3C" w:rsidRPr="003D67A1" w:rsidRDefault="00684E3C" w:rsidP="00E36D33">
      <w:pPr>
        <w:widowControl/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b/>
          <w:bCs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b/>
          <w:bCs/>
          <w:sz w:val="22"/>
          <w:szCs w:val="22"/>
          <w:lang w:val="fr-FR" w:eastAsia="fr-FR"/>
        </w:rPr>
        <w:t>Domaine scientifique</w:t>
      </w:r>
    </w:p>
    <w:p w:rsidR="00684E3C" w:rsidRPr="003D67A1" w:rsidRDefault="00684E3C" w:rsidP="00E36D33">
      <w:pPr>
        <w:widowControl/>
        <w:numPr>
          <w:ilvl w:val="0"/>
          <w:numId w:val="33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val="fr-FR" w:eastAsia="fr-FR"/>
        </w:rPr>
        <w:t>Association de l’Arboretum National du Vallon de l’Aubonne (2006)</w:t>
      </w:r>
    </w:p>
    <w:p w:rsidR="00023685" w:rsidRPr="003D67A1" w:rsidRDefault="00023685" w:rsidP="00E36D33">
      <w:pPr>
        <w:widowControl/>
        <w:numPr>
          <w:ilvl w:val="0"/>
          <w:numId w:val="33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val="fr-FR" w:eastAsia="fr-FR"/>
        </w:rPr>
        <w:t>Aubert John-David, professeur, Programme de transplantation pulmonaire, CHUV (2011)</w:t>
      </w:r>
    </w:p>
    <w:p w:rsidR="002A20BF" w:rsidRPr="003D67A1" w:rsidRDefault="002A20BF" w:rsidP="00E36D33">
      <w:pPr>
        <w:widowControl/>
        <w:numPr>
          <w:ilvl w:val="0"/>
          <w:numId w:val="33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eastAsia="fr-FR"/>
        </w:rPr>
        <w:t>Buttler Alexandre, professeur EPFL, en collaboration avec l’Institut fédéral de recherches WSL (2006)</w:t>
      </w:r>
    </w:p>
    <w:p w:rsidR="00900EDB" w:rsidRPr="003D67A1" w:rsidRDefault="00900EDB" w:rsidP="003D67A1">
      <w:pPr>
        <w:widowControl/>
        <w:numPr>
          <w:ilvl w:val="0"/>
          <w:numId w:val="33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iCs/>
          <w:color w:val="333333"/>
          <w:sz w:val="22"/>
          <w:szCs w:val="22"/>
          <w:lang w:val="fr-FR"/>
        </w:rPr>
        <w:t>Centre de résonance magnétique cardiaque, CHUV (2020)</w:t>
      </w:r>
    </w:p>
    <w:p w:rsidR="007E1F73" w:rsidRPr="003D67A1" w:rsidRDefault="00D600BB" w:rsidP="007E1F73">
      <w:pPr>
        <w:widowControl/>
        <w:numPr>
          <w:ilvl w:val="0"/>
          <w:numId w:val="33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eastAsia="fr-FR"/>
        </w:rPr>
        <w:t>Champod Christophe, professeur à l’Institut de police scientifique, UNIL, et au Docteur Drygajlo Andrzej, EPFL (2004)</w:t>
      </w:r>
    </w:p>
    <w:p w:rsidR="007E1F73" w:rsidRPr="003D67A1" w:rsidRDefault="007E1F73" w:rsidP="007E1F73">
      <w:pPr>
        <w:widowControl/>
        <w:numPr>
          <w:ilvl w:val="0"/>
          <w:numId w:val="33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val="fr-FR"/>
        </w:rPr>
        <w:t xml:space="preserve">Chandran Rajasundar et le professeur Jan-Anders Månson, Laboratoire de Technologie des polymères et Composites, </w:t>
      </w:r>
      <w:r w:rsidRPr="003D67A1">
        <w:rPr>
          <w:rFonts w:ascii="Calibri" w:hAnsi="Calibri" w:cs="Calibri"/>
          <w:sz w:val="22"/>
          <w:szCs w:val="22"/>
        </w:rPr>
        <w:t>EPFL (2015)</w:t>
      </w:r>
    </w:p>
    <w:p w:rsidR="00684E3C" w:rsidRPr="003D67A1" w:rsidRDefault="00684E3C" w:rsidP="00E36D33">
      <w:pPr>
        <w:widowControl/>
        <w:numPr>
          <w:ilvl w:val="0"/>
          <w:numId w:val="33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eastAsia="fr-FR"/>
        </w:rPr>
        <w:t>Espic Luc et Martin Jean-Michel, professeurs, HEIG-VD (2007)</w:t>
      </w:r>
    </w:p>
    <w:p w:rsidR="00684E3C" w:rsidRPr="003D67A1" w:rsidRDefault="00684E3C" w:rsidP="00E36D33">
      <w:pPr>
        <w:widowControl/>
        <w:numPr>
          <w:ilvl w:val="0"/>
          <w:numId w:val="33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eastAsia="fr-FR"/>
        </w:rPr>
        <w:t>Fondation de Felice (2002)</w:t>
      </w:r>
    </w:p>
    <w:p w:rsidR="00684E3C" w:rsidRPr="003D67A1" w:rsidRDefault="00684E3C" w:rsidP="00E36D33">
      <w:pPr>
        <w:widowControl/>
        <w:numPr>
          <w:ilvl w:val="0"/>
          <w:numId w:val="33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eastAsia="fr-FR"/>
        </w:rPr>
        <w:t>Fondation du Centre pluridisciplinaire d’oncologie du CHUV (professeur Lejeune) (1999)</w:t>
      </w:r>
    </w:p>
    <w:p w:rsidR="00DA5F33" w:rsidRPr="003D67A1" w:rsidRDefault="00DA5F33" w:rsidP="00E36D33">
      <w:pPr>
        <w:widowControl/>
        <w:numPr>
          <w:ilvl w:val="0"/>
          <w:numId w:val="33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eastAsia="fr-FR"/>
        </w:rPr>
        <w:t>Fondation Maison romande du paysage (Eric Vion) (2014)</w:t>
      </w:r>
    </w:p>
    <w:p w:rsidR="00684E3C" w:rsidRPr="003D67A1" w:rsidRDefault="00684E3C" w:rsidP="00E36D33">
      <w:pPr>
        <w:widowControl/>
        <w:numPr>
          <w:ilvl w:val="0"/>
          <w:numId w:val="33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eastAsia="fr-FR"/>
        </w:rPr>
        <w:t>Hôpital orthopédique de Suisse romande (professeur Leyvraz) (2001)</w:t>
      </w:r>
    </w:p>
    <w:p w:rsidR="00684E3C" w:rsidRPr="003D67A1" w:rsidRDefault="00684E3C" w:rsidP="00E36D33">
      <w:pPr>
        <w:widowControl/>
        <w:numPr>
          <w:ilvl w:val="0"/>
          <w:numId w:val="33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val="fr-FR" w:eastAsia="fr-FR"/>
        </w:rPr>
        <w:t>Horber-Papazian Katia, professeure IDHEAP, en collaboration avec l'Institut de sociologie de l'Université de Bâle (2008)</w:t>
      </w:r>
    </w:p>
    <w:p w:rsidR="00684E3C" w:rsidRPr="003D67A1" w:rsidRDefault="00684E3C" w:rsidP="00E36D33">
      <w:pPr>
        <w:widowControl/>
        <w:numPr>
          <w:ilvl w:val="0"/>
          <w:numId w:val="33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val="fr-FR" w:eastAsia="fr-FR"/>
        </w:rPr>
        <w:t>Hubaux Jean-Pierre, professeur EPFL, associé à Messieurs Patthey (CHUV), Laurini (professeur associé) et Meuli, médecin (1995)</w:t>
      </w:r>
    </w:p>
    <w:p w:rsidR="00684E3C" w:rsidRPr="003D67A1" w:rsidRDefault="00684E3C" w:rsidP="00E36D33">
      <w:pPr>
        <w:widowControl/>
        <w:numPr>
          <w:ilvl w:val="0"/>
          <w:numId w:val="33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eastAsia="fr-FR"/>
        </w:rPr>
        <w:t>IAV Engineering (1998)</w:t>
      </w:r>
    </w:p>
    <w:p w:rsidR="00684E3C" w:rsidRPr="003D67A1" w:rsidRDefault="00684E3C" w:rsidP="00E36D33">
      <w:pPr>
        <w:widowControl/>
        <w:numPr>
          <w:ilvl w:val="0"/>
          <w:numId w:val="33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eastAsia="fr-FR"/>
        </w:rPr>
        <w:t>Institut de Géographie de l’Université de Lausanne (2000)</w:t>
      </w:r>
    </w:p>
    <w:p w:rsidR="00D600BB" w:rsidRPr="003D67A1" w:rsidRDefault="00684E3C" w:rsidP="00D600BB">
      <w:pPr>
        <w:widowControl/>
        <w:numPr>
          <w:ilvl w:val="0"/>
          <w:numId w:val="33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val="fr-FR" w:eastAsia="fr-FR"/>
        </w:rPr>
        <w:t>Institut universitaire de médecine légale, Unité d’analyse du dopage (professeur Rivier) (1996)</w:t>
      </w:r>
    </w:p>
    <w:p w:rsidR="00900EDB" w:rsidRPr="003D67A1" w:rsidRDefault="00900EDB" w:rsidP="00D600BB">
      <w:pPr>
        <w:widowControl/>
        <w:numPr>
          <w:ilvl w:val="0"/>
          <w:numId w:val="33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val="fr-FR" w:eastAsia="fr-FR"/>
        </w:rPr>
        <w:t>La Maison de la Rivière (2019)</w:t>
      </w:r>
    </w:p>
    <w:p w:rsidR="00EA1989" w:rsidRPr="003D67A1" w:rsidRDefault="00D600BB" w:rsidP="00D600BB">
      <w:pPr>
        <w:widowControl/>
        <w:numPr>
          <w:ilvl w:val="0"/>
          <w:numId w:val="33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val="fr-FR" w:eastAsia="fr-FR"/>
        </w:rPr>
        <w:t xml:space="preserve">Pena Jasquelin, professeur assistant, </w:t>
      </w:r>
      <w:r w:rsidRPr="003D67A1">
        <w:rPr>
          <w:rFonts w:ascii="Calibri" w:hAnsi="Calibri" w:cs="Calibri"/>
          <w:sz w:val="22"/>
          <w:szCs w:val="22"/>
        </w:rPr>
        <w:t>Institut de minéralogie et géochimie, Faculté des géosciences et de l’environnement, Unil (2012)</w:t>
      </w:r>
    </w:p>
    <w:p w:rsidR="00D600BB" w:rsidRPr="003D67A1" w:rsidRDefault="00EA1989" w:rsidP="00D600BB">
      <w:pPr>
        <w:widowControl/>
        <w:numPr>
          <w:ilvl w:val="0"/>
          <w:numId w:val="33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</w:rPr>
        <w:t>Sauty Alain</w:t>
      </w:r>
      <w:r w:rsidR="00157E7A" w:rsidRPr="003D67A1">
        <w:rPr>
          <w:rFonts w:ascii="Calibri" w:hAnsi="Calibri" w:cs="Calibri"/>
          <w:sz w:val="22"/>
          <w:szCs w:val="22"/>
        </w:rPr>
        <w:t>,</w:t>
      </w:r>
      <w:r w:rsidRPr="003D67A1">
        <w:rPr>
          <w:rFonts w:ascii="Calibri" w:hAnsi="Calibri" w:cs="Calibri"/>
          <w:sz w:val="22"/>
          <w:szCs w:val="22"/>
        </w:rPr>
        <w:t xml:space="preserve"> Dr, </w:t>
      </w:r>
      <w:r w:rsidR="00157E7A" w:rsidRPr="003D67A1">
        <w:rPr>
          <w:rFonts w:ascii="Calibri" w:hAnsi="Calibri" w:cs="Calibri"/>
          <w:sz w:val="22"/>
          <w:szCs w:val="22"/>
        </w:rPr>
        <w:t>Médecine Interne, Pneumologie et Immuno-Allergologie FMH, Co-responsable de la consultation multisite de mucoviscidose adulte, Hôpital de Morges - CHUV</w:t>
      </w:r>
      <w:r w:rsidR="00D600BB" w:rsidRPr="003D67A1">
        <w:rPr>
          <w:rFonts w:ascii="Calibri" w:hAnsi="Calibri" w:cs="Calibri"/>
          <w:i/>
          <w:sz w:val="22"/>
          <w:szCs w:val="22"/>
          <w:lang w:val="fr-FR" w:eastAsia="fr-FR"/>
        </w:rPr>
        <w:t xml:space="preserve"> </w:t>
      </w:r>
      <w:r w:rsidRPr="003D67A1">
        <w:rPr>
          <w:rFonts w:ascii="Calibri" w:hAnsi="Calibri" w:cs="Calibri"/>
          <w:sz w:val="22"/>
          <w:szCs w:val="22"/>
          <w:lang w:val="fr-FR" w:eastAsia="fr-FR"/>
        </w:rPr>
        <w:t>(2013)</w:t>
      </w:r>
    </w:p>
    <w:p w:rsidR="002A20BF" w:rsidRPr="003D67A1" w:rsidRDefault="002A20BF" w:rsidP="00E36D33">
      <w:pPr>
        <w:widowControl/>
        <w:numPr>
          <w:ilvl w:val="0"/>
          <w:numId w:val="33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val="fr-FR" w:eastAsia="fr-FR"/>
        </w:rPr>
        <w:t xml:space="preserve">Tortajada Maria, professeure, Section d’histoire et esthétique du cinéma, Faculté des Lettres, Université de Lausanne (2010) </w:t>
      </w:r>
    </w:p>
    <w:p w:rsidR="00684E3C" w:rsidRPr="003D67A1" w:rsidRDefault="00684E3C" w:rsidP="00E36D33">
      <w:pPr>
        <w:widowControl/>
        <w:numPr>
          <w:ilvl w:val="0"/>
          <w:numId w:val="33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b/>
          <w:bCs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eastAsia="fr-FR"/>
        </w:rPr>
        <w:t>Voelin Claude, professeur, Université de Lausanne (2005)</w:t>
      </w:r>
    </w:p>
    <w:p w:rsidR="00684E3C" w:rsidRPr="003D67A1" w:rsidRDefault="00684E3C" w:rsidP="00E36D33">
      <w:pPr>
        <w:widowControl/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b/>
          <w:bCs/>
          <w:sz w:val="22"/>
          <w:szCs w:val="22"/>
          <w:lang w:val="fr-FR" w:eastAsia="fr-FR"/>
        </w:rPr>
      </w:pPr>
    </w:p>
    <w:p w:rsidR="002A20BF" w:rsidRPr="003D67A1" w:rsidRDefault="002A20BF" w:rsidP="00E36D33">
      <w:pPr>
        <w:spacing w:after="120"/>
        <w:ind w:right="736"/>
        <w:rPr>
          <w:rFonts w:ascii="Calibri" w:hAnsi="Calibri" w:cs="Calibri"/>
          <w:b/>
          <w:sz w:val="24"/>
          <w:szCs w:val="24"/>
        </w:rPr>
      </w:pPr>
      <w:r w:rsidRPr="003D67A1">
        <w:rPr>
          <w:rFonts w:ascii="Calibri" w:hAnsi="Calibri" w:cs="Calibri"/>
          <w:b/>
          <w:bCs/>
          <w:sz w:val="22"/>
          <w:szCs w:val="22"/>
          <w:lang w:val="fr-FR" w:eastAsia="fr-FR"/>
        </w:rPr>
        <w:br w:type="page"/>
      </w:r>
      <w:r w:rsidRPr="003D67A1">
        <w:rPr>
          <w:rFonts w:ascii="Calibri" w:hAnsi="Calibri" w:cs="Calibri"/>
          <w:b/>
          <w:sz w:val="24"/>
          <w:szCs w:val="24"/>
        </w:rPr>
        <w:lastRenderedPageBreak/>
        <w:t>Prix et dons de la Fondation BCV attribués dès 1995</w:t>
      </w:r>
    </w:p>
    <w:p w:rsidR="002A20BF" w:rsidRPr="003D67A1" w:rsidRDefault="002A20BF" w:rsidP="00E36D33">
      <w:pPr>
        <w:spacing w:after="120"/>
        <w:ind w:right="736"/>
        <w:rPr>
          <w:rFonts w:ascii="Calibri" w:hAnsi="Calibri" w:cs="Calibri"/>
          <w:b/>
          <w:sz w:val="22"/>
          <w:szCs w:val="22"/>
          <w:lang w:val="fr-FR" w:eastAsia="fr-FR"/>
        </w:rPr>
      </w:pPr>
    </w:p>
    <w:p w:rsidR="00684E3C" w:rsidRPr="003D67A1" w:rsidRDefault="00684E3C" w:rsidP="00E36D33">
      <w:pPr>
        <w:widowControl/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b/>
          <w:bCs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b/>
          <w:bCs/>
          <w:sz w:val="22"/>
          <w:szCs w:val="22"/>
          <w:lang w:val="fr-FR" w:eastAsia="fr-FR"/>
        </w:rPr>
        <w:t>Domaine caritatif</w:t>
      </w:r>
    </w:p>
    <w:p w:rsidR="00B52430" w:rsidRPr="003D67A1" w:rsidRDefault="00B52430" w:rsidP="00E36D33">
      <w:pPr>
        <w:widowControl/>
        <w:numPr>
          <w:ilvl w:val="0"/>
          <w:numId w:val="32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val="fr-FR" w:eastAsia="fr-FR"/>
        </w:rPr>
        <w:t>Apé-Vaud (2014)</w:t>
      </w:r>
    </w:p>
    <w:p w:rsidR="00900EDB" w:rsidRPr="00900EDB" w:rsidRDefault="00900EDB" w:rsidP="00900EDB">
      <w:pPr>
        <w:widowControl/>
        <w:numPr>
          <w:ilvl w:val="0"/>
          <w:numId w:val="32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900EDB">
        <w:rPr>
          <w:rFonts w:ascii="Calibri" w:hAnsi="Calibri" w:cs="Calibri"/>
          <w:sz w:val="22"/>
          <w:szCs w:val="22"/>
          <w:lang w:eastAsia="fr-FR"/>
        </w:rPr>
        <w:t>Association Bourse à Travail (2015)</w:t>
      </w:r>
    </w:p>
    <w:p w:rsidR="00684E3C" w:rsidRPr="003D67A1" w:rsidRDefault="00684E3C" w:rsidP="00E36D33">
      <w:pPr>
        <w:widowControl/>
        <w:numPr>
          <w:ilvl w:val="0"/>
          <w:numId w:val="32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val="fr-FR" w:eastAsia="fr-FR"/>
        </w:rPr>
        <w:t>Association Croque la Vie (2008)</w:t>
      </w:r>
    </w:p>
    <w:p w:rsidR="00900EDB" w:rsidRPr="003D67A1" w:rsidRDefault="00900EDB" w:rsidP="00E36D33">
      <w:pPr>
        <w:widowControl/>
        <w:numPr>
          <w:ilvl w:val="0"/>
          <w:numId w:val="32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val="fr-FR" w:eastAsia="fr-FR"/>
        </w:rPr>
        <w:t>Association de la Maison des Jeunes (2019)</w:t>
      </w:r>
    </w:p>
    <w:p w:rsidR="00684E3C" w:rsidRPr="003D67A1" w:rsidRDefault="00684E3C" w:rsidP="00E36D33">
      <w:pPr>
        <w:widowControl/>
        <w:numPr>
          <w:ilvl w:val="0"/>
          <w:numId w:val="32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val="fr-FR" w:eastAsia="fr-FR"/>
        </w:rPr>
        <w:t>Association du Relais à Morges (2007)</w:t>
      </w:r>
    </w:p>
    <w:p w:rsidR="00684E3C" w:rsidRPr="003D67A1" w:rsidRDefault="00684E3C" w:rsidP="00E36D33">
      <w:pPr>
        <w:widowControl/>
        <w:numPr>
          <w:ilvl w:val="0"/>
          <w:numId w:val="32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eastAsia="fr-FR"/>
        </w:rPr>
        <w:t>Association ELAC (2001)</w:t>
      </w:r>
    </w:p>
    <w:p w:rsidR="00684E3C" w:rsidRPr="003D67A1" w:rsidRDefault="00684E3C" w:rsidP="00E36D33">
      <w:pPr>
        <w:widowControl/>
        <w:numPr>
          <w:ilvl w:val="0"/>
          <w:numId w:val="32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eastAsia="fr-FR"/>
        </w:rPr>
        <w:t>Association Faire le Pas (1997)</w:t>
      </w:r>
    </w:p>
    <w:p w:rsidR="00684E3C" w:rsidRPr="003D67A1" w:rsidRDefault="00684E3C" w:rsidP="00E36D33">
      <w:pPr>
        <w:widowControl/>
        <w:numPr>
          <w:ilvl w:val="0"/>
          <w:numId w:val="32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val="fr-FR" w:eastAsia="fr-FR"/>
        </w:rPr>
        <w:t>Association La Branche (2008)</w:t>
      </w:r>
    </w:p>
    <w:p w:rsidR="007E1F73" w:rsidRPr="003D67A1" w:rsidRDefault="007E1F73" w:rsidP="00E36D33">
      <w:pPr>
        <w:widowControl/>
        <w:numPr>
          <w:ilvl w:val="0"/>
          <w:numId w:val="32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val="fr-FR" w:eastAsia="fr-FR"/>
        </w:rPr>
        <w:t>Association La Brigantine (2015)</w:t>
      </w:r>
    </w:p>
    <w:p w:rsidR="00900EDB" w:rsidRPr="003D67A1" w:rsidRDefault="00900EDB" w:rsidP="00E36D33">
      <w:pPr>
        <w:widowControl/>
        <w:numPr>
          <w:ilvl w:val="0"/>
          <w:numId w:val="32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val="fr-FR" w:eastAsia="fr-FR"/>
        </w:rPr>
        <w:t>Association Les Proches aidants (2020)</w:t>
      </w:r>
    </w:p>
    <w:p w:rsidR="00684E3C" w:rsidRPr="003D67A1" w:rsidRDefault="00684E3C" w:rsidP="00E36D33">
      <w:pPr>
        <w:widowControl/>
        <w:numPr>
          <w:ilvl w:val="0"/>
          <w:numId w:val="32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val="fr-FR" w:eastAsia="fr-FR"/>
        </w:rPr>
        <w:t>Caritas Vaud (2000)</w:t>
      </w:r>
    </w:p>
    <w:p w:rsidR="00684E3C" w:rsidRPr="003D67A1" w:rsidRDefault="00684E3C" w:rsidP="00E36D33">
      <w:pPr>
        <w:widowControl/>
        <w:numPr>
          <w:ilvl w:val="0"/>
          <w:numId w:val="32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eastAsia="fr-FR"/>
        </w:rPr>
        <w:t>Centre social et curatif de St-Barthélémy (2004)</w:t>
      </w:r>
    </w:p>
    <w:p w:rsidR="00684E3C" w:rsidRPr="003D67A1" w:rsidRDefault="00684E3C" w:rsidP="00E36D33">
      <w:pPr>
        <w:widowControl/>
        <w:numPr>
          <w:ilvl w:val="0"/>
          <w:numId w:val="32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val="fr-FR" w:eastAsia="fr-FR"/>
        </w:rPr>
        <w:t>Centre social protestant (1999)</w:t>
      </w:r>
    </w:p>
    <w:p w:rsidR="00ED2FB2" w:rsidRPr="003D67A1" w:rsidRDefault="00ED2FB2" w:rsidP="00E36D33">
      <w:pPr>
        <w:widowControl/>
        <w:numPr>
          <w:ilvl w:val="0"/>
          <w:numId w:val="32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val="fr-FR" w:eastAsia="fr-FR"/>
        </w:rPr>
        <w:t>Croix-Bleue romande (2013)</w:t>
      </w:r>
    </w:p>
    <w:p w:rsidR="00684E3C" w:rsidRPr="003D67A1" w:rsidRDefault="00684E3C" w:rsidP="00E36D33">
      <w:pPr>
        <w:widowControl/>
        <w:numPr>
          <w:ilvl w:val="0"/>
          <w:numId w:val="32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val="fr-FR" w:eastAsia="fr-FR"/>
        </w:rPr>
        <w:t>Croix-Rouge, section vaudoise (2000)</w:t>
      </w:r>
    </w:p>
    <w:p w:rsidR="00023685" w:rsidRPr="003D67A1" w:rsidRDefault="00023685" w:rsidP="00E36D33">
      <w:pPr>
        <w:widowControl/>
        <w:numPr>
          <w:ilvl w:val="0"/>
          <w:numId w:val="32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val="fr-FR" w:eastAsia="fr-FR"/>
        </w:rPr>
        <w:t>EPER, MEM – Mentorat Emploi Migration (2011)</w:t>
      </w:r>
    </w:p>
    <w:p w:rsidR="00684E3C" w:rsidRPr="003D67A1" w:rsidRDefault="00684E3C" w:rsidP="00E36D33">
      <w:pPr>
        <w:widowControl/>
        <w:numPr>
          <w:ilvl w:val="0"/>
          <w:numId w:val="32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eastAsia="fr-FR"/>
        </w:rPr>
        <w:t>Fondation A Capella (2006)</w:t>
      </w:r>
    </w:p>
    <w:p w:rsidR="00D600BB" w:rsidRPr="003D67A1" w:rsidRDefault="00D600BB" w:rsidP="00D600BB">
      <w:pPr>
        <w:widowControl/>
        <w:numPr>
          <w:ilvl w:val="0"/>
          <w:numId w:val="32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val="fr-FR" w:eastAsia="fr-FR"/>
        </w:rPr>
        <w:t>Fondation As’trame (2012)</w:t>
      </w:r>
    </w:p>
    <w:p w:rsidR="00684E3C" w:rsidRPr="003D67A1" w:rsidRDefault="00684E3C" w:rsidP="00E36D33">
      <w:pPr>
        <w:widowControl/>
        <w:numPr>
          <w:ilvl w:val="0"/>
          <w:numId w:val="32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eastAsia="fr-FR"/>
        </w:rPr>
        <w:t>Fondation Cherpillod (2005)</w:t>
      </w:r>
    </w:p>
    <w:p w:rsidR="00684E3C" w:rsidRPr="003D67A1" w:rsidRDefault="00684E3C" w:rsidP="00E36D33">
      <w:pPr>
        <w:widowControl/>
        <w:numPr>
          <w:ilvl w:val="0"/>
          <w:numId w:val="32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eastAsia="fr-FR"/>
        </w:rPr>
        <w:t>Fondation Echaud (2006)</w:t>
      </w:r>
    </w:p>
    <w:p w:rsidR="00900EDB" w:rsidRPr="003D67A1" w:rsidRDefault="00900EDB" w:rsidP="00E36D33">
      <w:pPr>
        <w:widowControl/>
        <w:numPr>
          <w:ilvl w:val="0"/>
          <w:numId w:val="32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eastAsia="fr-FR"/>
        </w:rPr>
        <w:t>Fondation Pro Juventute (2020)</w:t>
      </w:r>
    </w:p>
    <w:p w:rsidR="002A20BF" w:rsidRPr="003D67A1" w:rsidRDefault="002A20BF" w:rsidP="00E36D33">
      <w:pPr>
        <w:widowControl/>
        <w:numPr>
          <w:ilvl w:val="0"/>
          <w:numId w:val="32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eastAsia="fr-FR"/>
        </w:rPr>
        <w:t xml:space="preserve">Fondation Pro-XY (2010) </w:t>
      </w:r>
    </w:p>
    <w:p w:rsidR="00684E3C" w:rsidRPr="003D67A1" w:rsidRDefault="00684E3C" w:rsidP="00E36D33">
      <w:pPr>
        <w:widowControl/>
        <w:numPr>
          <w:ilvl w:val="0"/>
          <w:numId w:val="32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val="fr-FR" w:eastAsia="fr-FR"/>
        </w:rPr>
        <w:t>Fondation Malley Prairie (1997)</w:t>
      </w:r>
    </w:p>
    <w:p w:rsidR="00684E3C" w:rsidRPr="003D67A1" w:rsidRDefault="00684E3C" w:rsidP="00E36D33">
      <w:pPr>
        <w:widowControl/>
        <w:numPr>
          <w:ilvl w:val="0"/>
          <w:numId w:val="32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eastAsia="fr-FR"/>
        </w:rPr>
        <w:t>Fondation Rive Neuve, Fondation (1996)</w:t>
      </w:r>
    </w:p>
    <w:p w:rsidR="00684E3C" w:rsidRPr="003D67A1" w:rsidRDefault="00684E3C" w:rsidP="00E36D33">
      <w:pPr>
        <w:widowControl/>
        <w:numPr>
          <w:ilvl w:val="0"/>
          <w:numId w:val="32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val="fr-FR" w:eastAsia="fr-FR"/>
        </w:rPr>
        <w:t>Graap (1996)</w:t>
      </w:r>
    </w:p>
    <w:p w:rsidR="00684E3C" w:rsidRPr="003D67A1" w:rsidRDefault="00684E3C" w:rsidP="00E36D33">
      <w:pPr>
        <w:widowControl/>
        <w:numPr>
          <w:ilvl w:val="0"/>
          <w:numId w:val="32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val="fr-FR" w:eastAsia="fr-FR"/>
        </w:rPr>
        <w:t>Main tendue vaudoise (2001)</w:t>
      </w:r>
    </w:p>
    <w:p w:rsidR="00684E3C" w:rsidRPr="003D67A1" w:rsidRDefault="00684E3C" w:rsidP="00E36D33">
      <w:pPr>
        <w:widowControl/>
        <w:numPr>
          <w:ilvl w:val="0"/>
          <w:numId w:val="32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val="fr-FR" w:eastAsia="fr-FR"/>
        </w:rPr>
        <w:t>Mère Sofia (1995)</w:t>
      </w:r>
    </w:p>
    <w:p w:rsidR="00684E3C" w:rsidRPr="003D67A1" w:rsidRDefault="00684E3C" w:rsidP="00E36D33">
      <w:pPr>
        <w:widowControl/>
        <w:numPr>
          <w:ilvl w:val="0"/>
          <w:numId w:val="32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eastAsia="fr-FR"/>
        </w:rPr>
        <w:t>Pro Infirmis (2002)</w:t>
      </w:r>
    </w:p>
    <w:p w:rsidR="00684E3C" w:rsidRPr="003D67A1" w:rsidRDefault="00684E3C" w:rsidP="00E36D33">
      <w:pPr>
        <w:numPr>
          <w:ilvl w:val="0"/>
          <w:numId w:val="32"/>
        </w:numPr>
        <w:spacing w:after="120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val="fr-FR" w:eastAsia="fr-FR"/>
        </w:rPr>
        <w:t>Pro Senectute (1998, 2005)</w:t>
      </w:r>
    </w:p>
    <w:p w:rsidR="00684E3C" w:rsidRPr="003D67A1" w:rsidRDefault="00684E3C" w:rsidP="00E36D33">
      <w:pPr>
        <w:spacing w:after="120"/>
        <w:rPr>
          <w:rFonts w:ascii="Calibri" w:hAnsi="Calibri" w:cs="Calibri"/>
          <w:sz w:val="22"/>
          <w:szCs w:val="22"/>
          <w:lang w:val="fr-FR" w:eastAsia="fr-FR"/>
        </w:rPr>
      </w:pPr>
    </w:p>
    <w:p w:rsidR="002A20BF" w:rsidRPr="003D67A1" w:rsidRDefault="002A20BF" w:rsidP="00E36D33">
      <w:pPr>
        <w:spacing w:after="120"/>
        <w:ind w:right="736"/>
        <w:rPr>
          <w:rFonts w:ascii="Calibri" w:hAnsi="Calibri" w:cs="Calibri"/>
          <w:b/>
          <w:sz w:val="24"/>
          <w:szCs w:val="24"/>
          <w:lang w:val="fr-FR" w:eastAsia="fr-FR"/>
        </w:rPr>
      </w:pPr>
      <w:r w:rsidRPr="003D67A1">
        <w:rPr>
          <w:rFonts w:ascii="Calibri" w:hAnsi="Calibri" w:cs="Calibri"/>
          <w:b/>
          <w:sz w:val="22"/>
          <w:szCs w:val="22"/>
        </w:rPr>
        <w:br w:type="page"/>
      </w:r>
      <w:r w:rsidRPr="003D67A1">
        <w:rPr>
          <w:rFonts w:ascii="Calibri" w:hAnsi="Calibri" w:cs="Calibri"/>
          <w:b/>
          <w:sz w:val="24"/>
          <w:szCs w:val="24"/>
        </w:rPr>
        <w:lastRenderedPageBreak/>
        <w:t>Prix et dons de la Fondation BCV attribués dès 1995</w:t>
      </w:r>
    </w:p>
    <w:p w:rsidR="002A20BF" w:rsidRPr="003D67A1" w:rsidRDefault="002A20BF" w:rsidP="00E36D33">
      <w:pPr>
        <w:widowControl/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b/>
          <w:bCs/>
          <w:sz w:val="22"/>
          <w:szCs w:val="22"/>
          <w:lang w:val="en-GB" w:eastAsia="fr-FR"/>
        </w:rPr>
      </w:pPr>
    </w:p>
    <w:p w:rsidR="00684E3C" w:rsidRPr="003D67A1" w:rsidRDefault="00684E3C" w:rsidP="00E36D33">
      <w:pPr>
        <w:widowControl/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b/>
          <w:bCs/>
          <w:sz w:val="22"/>
          <w:szCs w:val="22"/>
          <w:lang w:val="en-GB" w:eastAsia="fr-FR"/>
        </w:rPr>
      </w:pPr>
      <w:r w:rsidRPr="003D67A1">
        <w:rPr>
          <w:rFonts w:ascii="Calibri" w:hAnsi="Calibri" w:cs="Calibri"/>
          <w:b/>
          <w:bCs/>
          <w:sz w:val="22"/>
          <w:szCs w:val="22"/>
          <w:lang w:val="en-GB" w:eastAsia="fr-FR"/>
        </w:rPr>
        <w:t>Domaine culturel</w:t>
      </w:r>
    </w:p>
    <w:p w:rsidR="00684E3C" w:rsidRPr="003D67A1" w:rsidRDefault="00684E3C" w:rsidP="00E36D33">
      <w:pPr>
        <w:widowControl/>
        <w:numPr>
          <w:ilvl w:val="0"/>
          <w:numId w:val="31"/>
        </w:numPr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sz w:val="22"/>
          <w:szCs w:val="22"/>
          <w:lang w:val="en-GB" w:eastAsia="fr-FR"/>
        </w:rPr>
      </w:pPr>
      <w:r w:rsidRPr="003D67A1">
        <w:rPr>
          <w:rFonts w:ascii="Calibri" w:hAnsi="Calibri" w:cs="Calibri"/>
          <w:sz w:val="22"/>
          <w:szCs w:val="22"/>
          <w:lang w:val="en-GB" w:eastAsia="fr-FR"/>
        </w:rPr>
        <w:t>Association Othmar Schoeck (2000)</w:t>
      </w:r>
    </w:p>
    <w:p w:rsidR="00684E3C" w:rsidRPr="003D67A1" w:rsidRDefault="00684E3C" w:rsidP="00E36D33">
      <w:pPr>
        <w:widowControl/>
        <w:numPr>
          <w:ilvl w:val="0"/>
          <w:numId w:val="31"/>
        </w:numPr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sz w:val="22"/>
          <w:szCs w:val="22"/>
          <w:lang w:val="en-GB" w:eastAsia="fr-FR"/>
        </w:rPr>
      </w:pPr>
      <w:r w:rsidRPr="003D67A1">
        <w:rPr>
          <w:rFonts w:ascii="Calibri" w:hAnsi="Calibri" w:cs="Calibri"/>
          <w:sz w:val="22"/>
          <w:szCs w:val="22"/>
          <w:lang w:val="en-GB" w:eastAsia="fr-FR"/>
        </w:rPr>
        <w:t>Auberson Antoine, musicien (2005)</w:t>
      </w:r>
    </w:p>
    <w:p w:rsidR="00684E3C" w:rsidRPr="003D67A1" w:rsidRDefault="00684E3C" w:rsidP="00E36D33">
      <w:pPr>
        <w:widowControl/>
        <w:numPr>
          <w:ilvl w:val="0"/>
          <w:numId w:val="31"/>
        </w:numPr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eastAsia="fr-FR"/>
        </w:rPr>
        <w:t>Blank William, compositeur (2001)</w:t>
      </w:r>
    </w:p>
    <w:p w:rsidR="007E1F73" w:rsidRPr="003D67A1" w:rsidRDefault="007E1F73" w:rsidP="00E36D33">
      <w:pPr>
        <w:widowControl/>
        <w:numPr>
          <w:ilvl w:val="0"/>
          <w:numId w:val="31"/>
        </w:numPr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eastAsia="fr-FR"/>
        </w:rPr>
        <w:t>Bolle Catherine (2015)</w:t>
      </w:r>
    </w:p>
    <w:p w:rsidR="00684E3C" w:rsidRPr="003D67A1" w:rsidRDefault="00684E3C" w:rsidP="00E36D33">
      <w:pPr>
        <w:widowControl/>
        <w:numPr>
          <w:ilvl w:val="0"/>
          <w:numId w:val="31"/>
        </w:numPr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eastAsia="fr-FR"/>
        </w:rPr>
        <w:t>Centre de recherches sur les lettres romandes (1997)</w:t>
      </w:r>
    </w:p>
    <w:p w:rsidR="00684E3C" w:rsidRPr="003D67A1" w:rsidRDefault="00684E3C" w:rsidP="00E36D33">
      <w:pPr>
        <w:widowControl/>
        <w:numPr>
          <w:ilvl w:val="0"/>
          <w:numId w:val="31"/>
        </w:numPr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eastAsia="fr-FR"/>
        </w:rPr>
        <w:t>Cinémathèque Suisse (1998)</w:t>
      </w:r>
    </w:p>
    <w:p w:rsidR="00684E3C" w:rsidRPr="003D67A1" w:rsidRDefault="00684E3C" w:rsidP="00E36D33">
      <w:pPr>
        <w:widowControl/>
        <w:numPr>
          <w:ilvl w:val="0"/>
          <w:numId w:val="31"/>
        </w:numPr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val="fr-FR" w:eastAsia="fr-FR"/>
        </w:rPr>
        <w:t>Conservatoire de Lausanne (2000, 2002)</w:t>
      </w:r>
    </w:p>
    <w:p w:rsidR="00684E3C" w:rsidRPr="003D67A1" w:rsidRDefault="00684E3C" w:rsidP="00E36D33">
      <w:pPr>
        <w:widowControl/>
        <w:numPr>
          <w:ilvl w:val="0"/>
          <w:numId w:val="31"/>
        </w:numPr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eastAsia="fr-FR"/>
        </w:rPr>
        <w:t>Décosterd Marianne, artiste peintre et graveuse (2005)</w:t>
      </w:r>
    </w:p>
    <w:p w:rsidR="00684E3C" w:rsidRPr="003D67A1" w:rsidRDefault="00684E3C" w:rsidP="00E36D33">
      <w:pPr>
        <w:widowControl/>
        <w:numPr>
          <w:ilvl w:val="0"/>
          <w:numId w:val="31"/>
        </w:numPr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eastAsia="fr-FR"/>
        </w:rPr>
        <w:t>Editions Empreintes (2006)</w:t>
      </w:r>
    </w:p>
    <w:p w:rsidR="00684E3C" w:rsidRPr="003D67A1" w:rsidRDefault="00684E3C" w:rsidP="00E36D33">
      <w:pPr>
        <w:widowControl/>
        <w:numPr>
          <w:ilvl w:val="0"/>
          <w:numId w:val="31"/>
        </w:numPr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eastAsia="fr-FR"/>
        </w:rPr>
        <w:t>Editions Empreintes en collaboration avec l’Atelier du Cadratin (2001)</w:t>
      </w:r>
    </w:p>
    <w:p w:rsidR="00684E3C" w:rsidRPr="003D67A1" w:rsidRDefault="00684E3C" w:rsidP="00E36D33">
      <w:pPr>
        <w:widowControl/>
        <w:numPr>
          <w:ilvl w:val="0"/>
          <w:numId w:val="31"/>
        </w:numPr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eastAsia="fr-FR"/>
        </w:rPr>
        <w:t>Fondation Casimir Reymond (2007)</w:t>
      </w:r>
    </w:p>
    <w:p w:rsidR="00684E3C" w:rsidRPr="003D67A1" w:rsidRDefault="00684E3C" w:rsidP="00E36D33">
      <w:pPr>
        <w:widowControl/>
        <w:numPr>
          <w:ilvl w:val="0"/>
          <w:numId w:val="31"/>
        </w:numPr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eastAsia="fr-FR"/>
        </w:rPr>
        <w:t>Fonda</w:t>
      </w:r>
      <w:r w:rsidR="00900EDB" w:rsidRPr="003D67A1">
        <w:rPr>
          <w:rFonts w:ascii="Calibri" w:hAnsi="Calibri" w:cs="Calibri"/>
          <w:sz w:val="22"/>
          <w:szCs w:val="22"/>
          <w:lang w:eastAsia="fr-FR"/>
        </w:rPr>
        <w:t xml:space="preserve">tion pour les nouvelles orgues </w:t>
      </w:r>
      <w:r w:rsidRPr="003D67A1">
        <w:rPr>
          <w:rFonts w:ascii="Calibri" w:hAnsi="Calibri" w:cs="Calibri"/>
          <w:sz w:val="22"/>
          <w:szCs w:val="22"/>
          <w:lang w:eastAsia="fr-FR"/>
        </w:rPr>
        <w:t>de la Cathédrale de Lausanne (2000)</w:t>
      </w:r>
    </w:p>
    <w:p w:rsidR="00684E3C" w:rsidRPr="003D67A1" w:rsidRDefault="00684E3C" w:rsidP="00E36D33">
      <w:pPr>
        <w:widowControl/>
        <w:numPr>
          <w:ilvl w:val="0"/>
          <w:numId w:val="31"/>
        </w:numPr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val="fr-FR" w:eastAsia="fr-FR"/>
        </w:rPr>
        <w:t>Fondation R. d'Alessandro (2008</w:t>
      </w:r>
      <w:r w:rsidR="0088741F" w:rsidRPr="003D67A1">
        <w:rPr>
          <w:rFonts w:ascii="Calibri" w:hAnsi="Calibri" w:cs="Calibri"/>
          <w:sz w:val="22"/>
          <w:szCs w:val="22"/>
          <w:lang w:val="fr-FR" w:eastAsia="fr-FR"/>
        </w:rPr>
        <w:t>)</w:t>
      </w:r>
    </w:p>
    <w:p w:rsidR="00684E3C" w:rsidRPr="003D67A1" w:rsidRDefault="00684E3C" w:rsidP="00E36D33">
      <w:pPr>
        <w:widowControl/>
        <w:numPr>
          <w:ilvl w:val="0"/>
          <w:numId w:val="31"/>
        </w:numPr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eastAsia="fr-FR"/>
        </w:rPr>
        <w:t>Galland Bertil et Rapin Jean-Jacques (ouvrage consacré à M. Imsand) (2001)</w:t>
      </w:r>
    </w:p>
    <w:p w:rsidR="00684E3C" w:rsidRPr="003D67A1" w:rsidRDefault="00684E3C" w:rsidP="00E36D33">
      <w:pPr>
        <w:widowControl/>
        <w:numPr>
          <w:ilvl w:val="0"/>
          <w:numId w:val="31"/>
        </w:numPr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eastAsia="fr-FR"/>
        </w:rPr>
        <w:t>Gesseney-Rappo Dominique, Conservatoire de Lausanne, chef de chœur et compositeur (2004)</w:t>
      </w:r>
    </w:p>
    <w:p w:rsidR="00684E3C" w:rsidRPr="003D67A1" w:rsidRDefault="00684E3C" w:rsidP="00E36D33">
      <w:pPr>
        <w:widowControl/>
        <w:numPr>
          <w:ilvl w:val="0"/>
          <w:numId w:val="31"/>
        </w:numPr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eastAsia="fr-FR"/>
        </w:rPr>
        <w:t>Hesselbarth Jean-Claude, peintre (1996)</w:t>
      </w:r>
    </w:p>
    <w:p w:rsidR="00083806" w:rsidRPr="003D67A1" w:rsidRDefault="00083806" w:rsidP="00E36D33">
      <w:pPr>
        <w:widowControl/>
        <w:numPr>
          <w:ilvl w:val="0"/>
          <w:numId w:val="31"/>
        </w:numPr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eastAsia="fr-FR"/>
        </w:rPr>
        <w:t>La Camerata de Lausanne (2011)</w:t>
      </w:r>
    </w:p>
    <w:p w:rsidR="00900EDB" w:rsidRPr="003D67A1" w:rsidRDefault="00900EDB" w:rsidP="00E36D33">
      <w:pPr>
        <w:widowControl/>
        <w:numPr>
          <w:ilvl w:val="0"/>
          <w:numId w:val="31"/>
        </w:numPr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eastAsia="fr-FR"/>
        </w:rPr>
        <w:t>Le Colossal, La Ferme des Tilleuls (2020)</w:t>
      </w:r>
    </w:p>
    <w:p w:rsidR="00684E3C" w:rsidRPr="003D67A1" w:rsidRDefault="00684E3C" w:rsidP="00E36D33">
      <w:pPr>
        <w:widowControl/>
        <w:numPr>
          <w:ilvl w:val="0"/>
          <w:numId w:val="31"/>
        </w:numPr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val="fr-FR" w:eastAsia="fr-FR"/>
        </w:rPr>
        <w:t>Le Livre Libre (Buchet-Chastel) (2008)</w:t>
      </w:r>
    </w:p>
    <w:p w:rsidR="00452B08" w:rsidRPr="003D67A1" w:rsidRDefault="00452B08" w:rsidP="00E36D33">
      <w:pPr>
        <w:widowControl/>
        <w:numPr>
          <w:ilvl w:val="0"/>
          <w:numId w:val="31"/>
        </w:numPr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val="fr-FR" w:eastAsia="fr-FR"/>
        </w:rPr>
        <w:t>Le Petit Théâtre (2012)</w:t>
      </w:r>
    </w:p>
    <w:p w:rsidR="00684E3C" w:rsidRPr="003D67A1" w:rsidRDefault="00684E3C" w:rsidP="00E36D33">
      <w:pPr>
        <w:widowControl/>
        <w:numPr>
          <w:ilvl w:val="0"/>
          <w:numId w:val="31"/>
        </w:numPr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eastAsia="fr-FR"/>
        </w:rPr>
        <w:t>Lecoultre Jean (2002)</w:t>
      </w:r>
    </w:p>
    <w:p w:rsidR="00684E3C" w:rsidRPr="003D67A1" w:rsidRDefault="00684E3C" w:rsidP="00E36D33">
      <w:pPr>
        <w:widowControl/>
        <w:numPr>
          <w:ilvl w:val="0"/>
          <w:numId w:val="31"/>
        </w:numPr>
        <w:overflowPunct/>
        <w:autoSpaceDE/>
        <w:autoSpaceDN/>
        <w:adjustRightInd/>
        <w:spacing w:after="120"/>
        <w:jc w:val="both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eastAsia="Symbol" w:hAnsi="Calibri" w:cs="Calibri"/>
          <w:sz w:val="22"/>
          <w:szCs w:val="22"/>
          <w:lang w:eastAsia="fr-FR"/>
        </w:rPr>
        <w:t>Matossi Myriam, peintre et poète (1996)</w:t>
      </w:r>
    </w:p>
    <w:p w:rsidR="00684E3C" w:rsidRPr="003D67A1" w:rsidRDefault="00684E3C" w:rsidP="00E36D33">
      <w:pPr>
        <w:widowControl/>
        <w:numPr>
          <w:ilvl w:val="0"/>
          <w:numId w:val="31"/>
        </w:numPr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eastAsia="fr-FR"/>
        </w:rPr>
        <w:t>Médiathèque suisse de la danse (2007)</w:t>
      </w:r>
    </w:p>
    <w:p w:rsidR="00684E3C" w:rsidRPr="003D67A1" w:rsidRDefault="00684E3C" w:rsidP="00E36D33">
      <w:pPr>
        <w:widowControl/>
        <w:numPr>
          <w:ilvl w:val="0"/>
          <w:numId w:val="31"/>
        </w:numPr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eastAsia="fr-FR"/>
        </w:rPr>
        <w:t>Mentha Philippe, Théâtre Kléber-Méleau (2002)</w:t>
      </w:r>
    </w:p>
    <w:p w:rsidR="00684E3C" w:rsidRPr="003D67A1" w:rsidRDefault="00684E3C" w:rsidP="00E36D33">
      <w:pPr>
        <w:widowControl/>
        <w:numPr>
          <w:ilvl w:val="0"/>
          <w:numId w:val="31"/>
        </w:numPr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eastAsia="fr-FR"/>
        </w:rPr>
        <w:t>Meyer Raymond (gravure contemporaine) (2004)</w:t>
      </w:r>
    </w:p>
    <w:p w:rsidR="00684E3C" w:rsidRPr="003D67A1" w:rsidRDefault="00684E3C" w:rsidP="00E36D33">
      <w:pPr>
        <w:widowControl/>
        <w:numPr>
          <w:ilvl w:val="0"/>
          <w:numId w:val="31"/>
        </w:numPr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val="fr-FR" w:eastAsia="fr-FR"/>
        </w:rPr>
        <w:t>Musée cantonal des Beaux-Arts (1995)</w:t>
      </w:r>
    </w:p>
    <w:p w:rsidR="002374C3" w:rsidRPr="003D67A1" w:rsidRDefault="002374C3" w:rsidP="00E36D33">
      <w:pPr>
        <w:widowControl/>
        <w:numPr>
          <w:ilvl w:val="0"/>
          <w:numId w:val="31"/>
        </w:numPr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val="fr-FR" w:eastAsia="fr-FR"/>
        </w:rPr>
        <w:t>Musée historique de Lausanne (2013)</w:t>
      </w:r>
    </w:p>
    <w:p w:rsidR="00DA5F33" w:rsidRPr="003D67A1" w:rsidRDefault="00DA5F33" w:rsidP="00E36D33">
      <w:pPr>
        <w:widowControl/>
        <w:numPr>
          <w:ilvl w:val="0"/>
          <w:numId w:val="31"/>
        </w:numPr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val="fr-FR" w:eastAsia="fr-FR"/>
        </w:rPr>
        <w:t>Musée de l’Elysée (2014)</w:t>
      </w:r>
    </w:p>
    <w:p w:rsidR="002A20BF" w:rsidRPr="003D67A1" w:rsidRDefault="002A20BF" w:rsidP="00E36D33">
      <w:pPr>
        <w:widowControl/>
        <w:numPr>
          <w:ilvl w:val="0"/>
          <w:numId w:val="31"/>
        </w:numPr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hAnsi="Calibri" w:cs="Calibri"/>
          <w:sz w:val="22"/>
          <w:szCs w:val="22"/>
          <w:lang w:val="fr-FR" w:eastAsia="fr-FR"/>
        </w:rPr>
        <w:t>Opéra de Lausanne (2010</w:t>
      </w:r>
      <w:r w:rsidR="00900EDB" w:rsidRPr="003D67A1">
        <w:rPr>
          <w:rFonts w:ascii="Calibri" w:hAnsi="Calibri" w:cs="Calibri"/>
          <w:sz w:val="22"/>
          <w:szCs w:val="22"/>
          <w:lang w:val="fr-FR" w:eastAsia="fr-FR"/>
        </w:rPr>
        <w:t>, 2019</w:t>
      </w:r>
      <w:r w:rsidRPr="003D67A1">
        <w:rPr>
          <w:rFonts w:ascii="Calibri" w:hAnsi="Calibri" w:cs="Calibri"/>
          <w:sz w:val="22"/>
          <w:szCs w:val="22"/>
          <w:lang w:val="fr-FR" w:eastAsia="fr-FR"/>
        </w:rPr>
        <w:t>)</w:t>
      </w:r>
    </w:p>
    <w:p w:rsidR="00596DFE" w:rsidRPr="003D67A1" w:rsidRDefault="00684E3C" w:rsidP="00E36D33">
      <w:pPr>
        <w:widowControl/>
        <w:numPr>
          <w:ilvl w:val="0"/>
          <w:numId w:val="31"/>
        </w:numPr>
        <w:overflowPunct/>
        <w:autoSpaceDE/>
        <w:autoSpaceDN/>
        <w:adjustRightInd/>
        <w:spacing w:after="120"/>
        <w:jc w:val="both"/>
        <w:textAlignment w:val="auto"/>
        <w:rPr>
          <w:rFonts w:ascii="Calibri" w:hAnsi="Calibri" w:cs="Calibri"/>
          <w:sz w:val="22"/>
          <w:szCs w:val="22"/>
          <w:lang w:val="fr-FR" w:eastAsia="fr-FR"/>
        </w:rPr>
      </w:pPr>
      <w:r w:rsidRPr="003D67A1">
        <w:rPr>
          <w:rFonts w:ascii="Calibri" w:eastAsia="Symbol" w:hAnsi="Calibri" w:cs="Calibri"/>
          <w:sz w:val="22"/>
          <w:szCs w:val="22"/>
          <w:lang w:eastAsia="fr-FR"/>
        </w:rPr>
        <w:t>Testaz Irène, peintre (1996)</w:t>
      </w:r>
    </w:p>
    <w:p w:rsidR="004657C1" w:rsidRPr="003D67A1" w:rsidRDefault="00684E3C" w:rsidP="003D67A1">
      <w:pPr>
        <w:widowControl/>
        <w:numPr>
          <w:ilvl w:val="0"/>
          <w:numId w:val="31"/>
        </w:numPr>
        <w:overflowPunct/>
        <w:autoSpaceDE/>
        <w:autoSpaceDN/>
        <w:adjustRightInd/>
        <w:spacing w:after="120"/>
        <w:jc w:val="both"/>
        <w:textAlignment w:val="auto"/>
        <w:rPr>
          <w:rFonts w:ascii="Calibri" w:hAnsi="Calibri" w:cs="Calibri"/>
          <w:sz w:val="22"/>
          <w:szCs w:val="22"/>
          <w:lang w:val="fr-FR"/>
        </w:rPr>
      </w:pPr>
      <w:r w:rsidRPr="003D67A1">
        <w:rPr>
          <w:rFonts w:ascii="Calibri" w:hAnsi="Calibri" w:cs="Calibri"/>
          <w:sz w:val="22"/>
          <w:szCs w:val="22"/>
          <w:lang w:eastAsia="fr-FR"/>
        </w:rPr>
        <w:t>Unité de recherche contemporaine de l’Université de Lausanne (1999)</w:t>
      </w:r>
    </w:p>
    <w:sectPr w:rsidR="004657C1" w:rsidRPr="003D67A1" w:rsidSect="003A5355">
      <w:headerReference w:type="default" r:id="rId8"/>
      <w:pgSz w:w="11907" w:h="16840" w:code="9"/>
      <w:pgMar w:top="1985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BF4" w:rsidRDefault="00384BF4">
      <w:r>
        <w:separator/>
      </w:r>
    </w:p>
  </w:endnote>
  <w:endnote w:type="continuationSeparator" w:id="0">
    <w:p w:rsidR="00384BF4" w:rsidRDefault="0038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BF4" w:rsidRDefault="00384BF4">
      <w:r>
        <w:separator/>
      </w:r>
    </w:p>
  </w:footnote>
  <w:footnote w:type="continuationSeparator" w:id="0">
    <w:p w:rsidR="00384BF4" w:rsidRDefault="00384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08D" w:rsidRDefault="00007872" w:rsidP="003A5355">
    <w:pPr>
      <w:pStyle w:val="En-tte"/>
      <w:jc w:val="center"/>
    </w:pPr>
    <w:r>
      <w:rPr>
        <w:noProof/>
        <w:lang w:eastAsia="fr-CH"/>
      </w:rPr>
      <w:drawing>
        <wp:inline distT="0" distB="0" distL="0" distR="0">
          <wp:extent cx="4109085" cy="391795"/>
          <wp:effectExtent l="0" t="0" r="0" b="0"/>
          <wp:docPr id="1" name="Image 1" descr="Logo FOndations pour dossier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ndations pour dossier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08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42C27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5E0DF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007B6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7A357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F49BF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0C02F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4339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167CA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84F79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06C95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0F44FA7C"/>
    <w:lvl w:ilvl="0">
      <w:start w:val="1"/>
      <w:numFmt w:val="decimal"/>
      <w:pStyle w:val="Titre1"/>
      <w:lvlText w:val="%1."/>
      <w:legacy w:legacy="1" w:legacySpace="397" w:legacyIndent="0"/>
      <w:lvlJc w:val="left"/>
    </w:lvl>
    <w:lvl w:ilvl="1">
      <w:start w:val="1"/>
      <w:numFmt w:val="decimal"/>
      <w:pStyle w:val="Titre2"/>
      <w:lvlText w:val="%1.%2"/>
      <w:legacy w:legacy="1" w:legacySpace="284" w:legacyIndent="0"/>
      <w:lvlJc w:val="left"/>
    </w:lvl>
    <w:lvl w:ilvl="2">
      <w:start w:val="1"/>
      <w:numFmt w:val="decimal"/>
      <w:pStyle w:val="Titre3"/>
      <w:lvlText w:val="%1.%2.%3"/>
      <w:legacy w:legacy="1" w:legacySpace="113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2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62B5B47"/>
    <w:multiLevelType w:val="hybridMultilevel"/>
    <w:tmpl w:val="E2462524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A9457DB"/>
    <w:multiLevelType w:val="hybridMultilevel"/>
    <w:tmpl w:val="762022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630B5"/>
    <w:multiLevelType w:val="hybridMultilevel"/>
    <w:tmpl w:val="8E10A3D2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6D7FE5"/>
    <w:multiLevelType w:val="hybridMultilevel"/>
    <w:tmpl w:val="6A56BBFA"/>
    <w:lvl w:ilvl="0" w:tplc="C3FE7B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56916"/>
    <w:multiLevelType w:val="hybridMultilevel"/>
    <w:tmpl w:val="8D4AE824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D1178B"/>
    <w:multiLevelType w:val="multilevel"/>
    <w:tmpl w:val="C854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573994"/>
    <w:multiLevelType w:val="hybridMultilevel"/>
    <w:tmpl w:val="C9904C02"/>
    <w:lvl w:ilvl="0" w:tplc="6F3261F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F6D31"/>
    <w:multiLevelType w:val="hybridMultilevel"/>
    <w:tmpl w:val="8CCCD92C"/>
    <w:lvl w:ilvl="0" w:tplc="040C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491C73C3"/>
    <w:multiLevelType w:val="hybridMultilevel"/>
    <w:tmpl w:val="AD0631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94743"/>
    <w:multiLevelType w:val="hybridMultilevel"/>
    <w:tmpl w:val="447A8B62"/>
    <w:lvl w:ilvl="0" w:tplc="040C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B136CE9"/>
    <w:multiLevelType w:val="hybridMultilevel"/>
    <w:tmpl w:val="E4E6C6B8"/>
    <w:lvl w:ilvl="0" w:tplc="6F3261F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8"/>
  </w:num>
  <w:num w:numId="30">
    <w:abstractNumId w:val="20"/>
  </w:num>
  <w:num w:numId="31">
    <w:abstractNumId w:val="11"/>
  </w:num>
  <w:num w:numId="32">
    <w:abstractNumId w:val="13"/>
  </w:num>
  <w:num w:numId="33">
    <w:abstractNumId w:val="15"/>
  </w:num>
  <w:num w:numId="34">
    <w:abstractNumId w:val="17"/>
  </w:num>
  <w:num w:numId="35">
    <w:abstractNumId w:val="21"/>
  </w:num>
  <w:num w:numId="36">
    <w:abstractNumId w:val="16"/>
  </w:num>
  <w:num w:numId="37">
    <w:abstractNumId w:val="14"/>
  </w:num>
  <w:num w:numId="38">
    <w:abstractNumId w:val="12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56"/>
    <w:rsid w:val="00007872"/>
    <w:rsid w:val="0001106C"/>
    <w:rsid w:val="00023685"/>
    <w:rsid w:val="00025D31"/>
    <w:rsid w:val="0003148D"/>
    <w:rsid w:val="00043715"/>
    <w:rsid w:val="000452CE"/>
    <w:rsid w:val="00061F9F"/>
    <w:rsid w:val="00073BBA"/>
    <w:rsid w:val="00083806"/>
    <w:rsid w:val="000873A6"/>
    <w:rsid w:val="00087BED"/>
    <w:rsid w:val="00092FF1"/>
    <w:rsid w:val="0009634D"/>
    <w:rsid w:val="000A5696"/>
    <w:rsid w:val="000D35E4"/>
    <w:rsid w:val="000E7911"/>
    <w:rsid w:val="001379CE"/>
    <w:rsid w:val="001441A2"/>
    <w:rsid w:val="00157E7A"/>
    <w:rsid w:val="00161D3F"/>
    <w:rsid w:val="00173750"/>
    <w:rsid w:val="0019397A"/>
    <w:rsid w:val="001A1823"/>
    <w:rsid w:val="001B238F"/>
    <w:rsid w:val="001C3AC6"/>
    <w:rsid w:val="001F0A79"/>
    <w:rsid w:val="001F27EB"/>
    <w:rsid w:val="0020247A"/>
    <w:rsid w:val="0020511B"/>
    <w:rsid w:val="002068C3"/>
    <w:rsid w:val="002374C3"/>
    <w:rsid w:val="00240807"/>
    <w:rsid w:val="00251E24"/>
    <w:rsid w:val="002809AB"/>
    <w:rsid w:val="0028658F"/>
    <w:rsid w:val="00294903"/>
    <w:rsid w:val="00297570"/>
    <w:rsid w:val="002A20BF"/>
    <w:rsid w:val="002B0F03"/>
    <w:rsid w:val="002C1243"/>
    <w:rsid w:val="002D7FE5"/>
    <w:rsid w:val="00301E02"/>
    <w:rsid w:val="00334AA4"/>
    <w:rsid w:val="00340308"/>
    <w:rsid w:val="00340D80"/>
    <w:rsid w:val="00363B89"/>
    <w:rsid w:val="00366E2E"/>
    <w:rsid w:val="00384342"/>
    <w:rsid w:val="00384BF4"/>
    <w:rsid w:val="00390561"/>
    <w:rsid w:val="00390956"/>
    <w:rsid w:val="003974F0"/>
    <w:rsid w:val="003A5355"/>
    <w:rsid w:val="003A5751"/>
    <w:rsid w:val="003A5F5C"/>
    <w:rsid w:val="003D67A1"/>
    <w:rsid w:val="003F2918"/>
    <w:rsid w:val="003F594D"/>
    <w:rsid w:val="00410832"/>
    <w:rsid w:val="00432BDA"/>
    <w:rsid w:val="00445C3D"/>
    <w:rsid w:val="00452B08"/>
    <w:rsid w:val="00464F4A"/>
    <w:rsid w:val="00465183"/>
    <w:rsid w:val="004657C1"/>
    <w:rsid w:val="00481839"/>
    <w:rsid w:val="004843E7"/>
    <w:rsid w:val="00487247"/>
    <w:rsid w:val="00490DE8"/>
    <w:rsid w:val="00491B6D"/>
    <w:rsid w:val="00496BA5"/>
    <w:rsid w:val="004A4D2C"/>
    <w:rsid w:val="004C1D7C"/>
    <w:rsid w:val="004C7DE3"/>
    <w:rsid w:val="0054137F"/>
    <w:rsid w:val="00583FCB"/>
    <w:rsid w:val="00596DFE"/>
    <w:rsid w:val="005A247E"/>
    <w:rsid w:val="005A35DB"/>
    <w:rsid w:val="005F5BCE"/>
    <w:rsid w:val="00612AE8"/>
    <w:rsid w:val="00632747"/>
    <w:rsid w:val="0065472F"/>
    <w:rsid w:val="006651D7"/>
    <w:rsid w:val="00676A66"/>
    <w:rsid w:val="00684E3C"/>
    <w:rsid w:val="006B13AD"/>
    <w:rsid w:val="006C0E74"/>
    <w:rsid w:val="006E7ABE"/>
    <w:rsid w:val="0070281B"/>
    <w:rsid w:val="00707A7D"/>
    <w:rsid w:val="0071232C"/>
    <w:rsid w:val="00722ECC"/>
    <w:rsid w:val="0073475A"/>
    <w:rsid w:val="0076320D"/>
    <w:rsid w:val="00763DAD"/>
    <w:rsid w:val="00770157"/>
    <w:rsid w:val="00775AFE"/>
    <w:rsid w:val="0077692B"/>
    <w:rsid w:val="007A5A64"/>
    <w:rsid w:val="007D2126"/>
    <w:rsid w:val="007D7B07"/>
    <w:rsid w:val="007E1F73"/>
    <w:rsid w:val="007E692B"/>
    <w:rsid w:val="00805968"/>
    <w:rsid w:val="0082240F"/>
    <w:rsid w:val="00824BBD"/>
    <w:rsid w:val="00832672"/>
    <w:rsid w:val="008366C5"/>
    <w:rsid w:val="008618B1"/>
    <w:rsid w:val="0088464A"/>
    <w:rsid w:val="008872C3"/>
    <w:rsid w:val="0088741F"/>
    <w:rsid w:val="008A1FE9"/>
    <w:rsid w:val="008A32FF"/>
    <w:rsid w:val="008A3669"/>
    <w:rsid w:val="008B2B4F"/>
    <w:rsid w:val="008B6C83"/>
    <w:rsid w:val="008C2CCA"/>
    <w:rsid w:val="008C68F3"/>
    <w:rsid w:val="008E4E43"/>
    <w:rsid w:val="008E5269"/>
    <w:rsid w:val="00900EDB"/>
    <w:rsid w:val="0090563B"/>
    <w:rsid w:val="00911B23"/>
    <w:rsid w:val="00912EFB"/>
    <w:rsid w:val="00934571"/>
    <w:rsid w:val="009358F5"/>
    <w:rsid w:val="0096221F"/>
    <w:rsid w:val="009670C1"/>
    <w:rsid w:val="00981B70"/>
    <w:rsid w:val="00986924"/>
    <w:rsid w:val="00995D7A"/>
    <w:rsid w:val="009D7F32"/>
    <w:rsid w:val="009E1AF4"/>
    <w:rsid w:val="009F20AE"/>
    <w:rsid w:val="009F50D1"/>
    <w:rsid w:val="00A14C43"/>
    <w:rsid w:val="00A46594"/>
    <w:rsid w:val="00A520FD"/>
    <w:rsid w:val="00B01BB7"/>
    <w:rsid w:val="00B147DD"/>
    <w:rsid w:val="00B52430"/>
    <w:rsid w:val="00B60CBC"/>
    <w:rsid w:val="00B712AC"/>
    <w:rsid w:val="00B72847"/>
    <w:rsid w:val="00BB18A4"/>
    <w:rsid w:val="00BB5D44"/>
    <w:rsid w:val="00BE4A6A"/>
    <w:rsid w:val="00C0401A"/>
    <w:rsid w:val="00C31DCD"/>
    <w:rsid w:val="00C630D1"/>
    <w:rsid w:val="00C72645"/>
    <w:rsid w:val="00C80407"/>
    <w:rsid w:val="00C8419D"/>
    <w:rsid w:val="00C95F88"/>
    <w:rsid w:val="00CA356D"/>
    <w:rsid w:val="00CC11D1"/>
    <w:rsid w:val="00CC35C8"/>
    <w:rsid w:val="00CD43F3"/>
    <w:rsid w:val="00CD7A6A"/>
    <w:rsid w:val="00D00F09"/>
    <w:rsid w:val="00D02ECC"/>
    <w:rsid w:val="00D14E4E"/>
    <w:rsid w:val="00D16240"/>
    <w:rsid w:val="00D24B7D"/>
    <w:rsid w:val="00D3208E"/>
    <w:rsid w:val="00D600BB"/>
    <w:rsid w:val="00D67735"/>
    <w:rsid w:val="00D76EB9"/>
    <w:rsid w:val="00D9026F"/>
    <w:rsid w:val="00DA5F33"/>
    <w:rsid w:val="00DE41C3"/>
    <w:rsid w:val="00DF4E6D"/>
    <w:rsid w:val="00E1287B"/>
    <w:rsid w:val="00E143FE"/>
    <w:rsid w:val="00E17741"/>
    <w:rsid w:val="00E2566D"/>
    <w:rsid w:val="00E30D1C"/>
    <w:rsid w:val="00E33EFD"/>
    <w:rsid w:val="00E36D33"/>
    <w:rsid w:val="00E75F5E"/>
    <w:rsid w:val="00E92FEB"/>
    <w:rsid w:val="00EA1989"/>
    <w:rsid w:val="00EA273C"/>
    <w:rsid w:val="00EB2670"/>
    <w:rsid w:val="00EB4251"/>
    <w:rsid w:val="00EB7883"/>
    <w:rsid w:val="00ED2361"/>
    <w:rsid w:val="00ED2FB2"/>
    <w:rsid w:val="00EF208D"/>
    <w:rsid w:val="00F00156"/>
    <w:rsid w:val="00F116FD"/>
    <w:rsid w:val="00F20CAC"/>
    <w:rsid w:val="00F2399B"/>
    <w:rsid w:val="00F365EC"/>
    <w:rsid w:val="00F70FD4"/>
    <w:rsid w:val="00F93394"/>
    <w:rsid w:val="00FA3CD1"/>
    <w:rsid w:val="00FC0BAA"/>
    <w:rsid w:val="00FC0C19"/>
    <w:rsid w:val="00FC4BEE"/>
    <w:rsid w:val="00FF2E54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43D112-494C-44FF-B5F0-D435C4A7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8B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tg"/>
    </w:rPr>
  </w:style>
  <w:style w:type="paragraph" w:styleId="Titre1">
    <w:name w:val="heading 1"/>
    <w:basedOn w:val="Normal"/>
    <w:next w:val="Normal"/>
    <w:qFormat/>
    <w:pPr>
      <w:keepNext/>
      <w:numPr>
        <w:numId w:val="28"/>
      </w:numPr>
      <w:spacing w:before="225" w:after="112"/>
      <w:outlineLvl w:val="0"/>
    </w:pPr>
    <w:rPr>
      <w:b/>
      <w:caps/>
      <w:kern w:val="28"/>
      <w:sz w:val="24"/>
      <w:lang w:val="fr-FR" w:eastAsia="en-US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28"/>
      </w:numPr>
      <w:spacing w:before="112" w:after="112"/>
      <w:outlineLvl w:val="1"/>
    </w:pPr>
    <w:rPr>
      <w:b/>
      <w:sz w:val="24"/>
      <w:lang w:val="fr-FR" w:eastAsia="en-US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8"/>
      </w:numPr>
      <w:spacing w:before="55" w:after="112"/>
      <w:outlineLvl w:val="2"/>
    </w:pPr>
    <w:rPr>
      <w:sz w:val="22"/>
      <w:lang w:val="fr-FR" w:eastAsia="en-US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8"/>
      </w:numPr>
      <w:spacing w:before="240" w:after="60"/>
      <w:outlineLvl w:val="3"/>
    </w:pPr>
    <w:rPr>
      <w:rFonts w:ascii="Arial (W1)" w:hAnsi="Arial (W1)"/>
      <w:sz w:val="22"/>
      <w:lang w:val="fr-FR" w:eastAsia="en-US"/>
    </w:rPr>
  </w:style>
  <w:style w:type="paragraph" w:styleId="Titre5">
    <w:name w:val="heading 5"/>
    <w:basedOn w:val="Normal"/>
    <w:next w:val="Normal"/>
    <w:qFormat/>
    <w:pPr>
      <w:numPr>
        <w:ilvl w:val="4"/>
        <w:numId w:val="28"/>
      </w:numPr>
      <w:spacing w:before="240" w:after="60"/>
      <w:outlineLvl w:val="4"/>
    </w:pPr>
    <w:rPr>
      <w:lang w:val="fr-FR" w:eastAsia="en-US"/>
    </w:rPr>
  </w:style>
  <w:style w:type="paragraph" w:styleId="Titre6">
    <w:name w:val="heading 6"/>
    <w:basedOn w:val="Normal"/>
    <w:next w:val="Normal"/>
    <w:qFormat/>
    <w:pPr>
      <w:numPr>
        <w:ilvl w:val="5"/>
        <w:numId w:val="28"/>
      </w:numPr>
      <w:spacing w:before="240" w:after="60"/>
      <w:outlineLvl w:val="5"/>
    </w:pPr>
    <w:rPr>
      <w:lang w:val="fr-FR" w:eastAsia="en-US"/>
    </w:rPr>
  </w:style>
  <w:style w:type="paragraph" w:styleId="Titre7">
    <w:name w:val="heading 7"/>
    <w:basedOn w:val="Normal"/>
    <w:next w:val="Normal"/>
    <w:qFormat/>
    <w:pPr>
      <w:numPr>
        <w:ilvl w:val="6"/>
        <w:numId w:val="28"/>
      </w:numPr>
      <w:spacing w:before="240" w:after="60"/>
      <w:outlineLvl w:val="6"/>
    </w:pPr>
    <w:rPr>
      <w:i/>
      <w:sz w:val="18"/>
      <w:lang w:val="fr-FR" w:eastAsia="en-US"/>
    </w:rPr>
  </w:style>
  <w:style w:type="paragraph" w:styleId="Titre8">
    <w:name w:val="heading 8"/>
    <w:basedOn w:val="Normal"/>
    <w:next w:val="Normal"/>
    <w:qFormat/>
    <w:pPr>
      <w:numPr>
        <w:ilvl w:val="7"/>
        <w:numId w:val="28"/>
      </w:numPr>
      <w:spacing w:before="240" w:after="60"/>
      <w:outlineLvl w:val="7"/>
    </w:pPr>
    <w:rPr>
      <w:i/>
      <w:sz w:val="18"/>
      <w:lang w:val="fr-FR" w:eastAsia="en-US"/>
    </w:rPr>
  </w:style>
  <w:style w:type="paragraph" w:styleId="Titre9">
    <w:name w:val="heading 9"/>
    <w:basedOn w:val="Normal"/>
    <w:next w:val="Normal"/>
    <w:qFormat/>
    <w:pPr>
      <w:numPr>
        <w:ilvl w:val="8"/>
        <w:numId w:val="28"/>
      </w:numPr>
      <w:spacing w:before="240" w:after="60"/>
      <w:outlineLvl w:val="8"/>
    </w:pPr>
    <w:rPr>
      <w:i/>
      <w:sz w:val="18"/>
      <w:lang w:val="fr-FR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framePr w:hSpace="181" w:vSpace="181" w:wrap="around" w:vAnchor="text" w:hAnchor="text" w:y="1"/>
      <w:spacing w:before="60" w:after="60"/>
      <w:jc w:val="center"/>
      <w:outlineLvl w:val="0"/>
    </w:pPr>
    <w:rPr>
      <w:b/>
      <w:bCs/>
      <w:caps/>
      <w:sz w:val="28"/>
      <w:szCs w:val="32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paragraph" w:styleId="TitreTR">
    <w:name w:val="toa heading"/>
    <w:basedOn w:val="Normal"/>
    <w:next w:val="Normal"/>
    <w:semiHidden/>
    <w:rPr>
      <w:b/>
      <w:bCs/>
      <w:sz w:val="22"/>
      <w:szCs w:val="24"/>
    </w:rPr>
  </w:style>
  <w:style w:type="character" w:styleId="Accentuation">
    <w:name w:val="Emphasis"/>
    <w:qFormat/>
    <w:rPr>
      <w:i/>
      <w:iCs/>
    </w:rPr>
  </w:style>
  <w:style w:type="paragraph" w:styleId="Titreindex">
    <w:name w:val="index heading"/>
    <w:basedOn w:val="Normal"/>
    <w:next w:val="Normal"/>
    <w:semiHidden/>
    <w:rPr>
      <w:b/>
      <w:bCs/>
      <w:sz w:val="18"/>
    </w:rPr>
  </w:style>
  <w:style w:type="paragraph" w:styleId="Sous-titre">
    <w:name w:val="Subtitle"/>
    <w:basedOn w:val="Normal"/>
    <w:qFormat/>
    <w:pPr>
      <w:framePr w:hSpace="181" w:vSpace="181" w:wrap="around" w:vAnchor="text" w:hAnchor="text" w:y="1"/>
      <w:spacing w:before="60" w:after="60"/>
      <w:jc w:val="center"/>
      <w:outlineLvl w:val="1"/>
    </w:pPr>
    <w:rPr>
      <w:sz w:val="24"/>
      <w:szCs w:val="24"/>
    </w:rPr>
  </w:style>
  <w:style w:type="paragraph" w:styleId="Pieddepage">
    <w:name w:val="footer"/>
    <w:basedOn w:val="Normal"/>
    <w:pPr>
      <w:tabs>
        <w:tab w:val="right" w:pos="9639"/>
      </w:tabs>
    </w:pPr>
    <w:rPr>
      <w:rFonts w:ascii="Arial (W1)" w:hAnsi="Arial (W1)"/>
      <w:sz w:val="16"/>
      <w:szCs w:val="16"/>
    </w:rPr>
  </w:style>
  <w:style w:type="character" w:styleId="Numrodepage">
    <w:name w:val="page number"/>
    <w:rPr>
      <w:rFonts w:ascii="Arial" w:hAnsi="Arial"/>
      <w:dstrike w:val="0"/>
      <w:noProof/>
      <w:spacing w:val="0"/>
      <w:kern w:val="0"/>
      <w:position w:val="0"/>
      <w:sz w:val="18"/>
      <w:bdr w:val="none" w:sz="0" w:space="0" w:color="auto"/>
      <w:vertAlign w:val="baselin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 (W1)" w:hAnsi="Arial (W1)"/>
      <w:sz w:val="16"/>
      <w:szCs w:val="16"/>
    </w:rPr>
  </w:style>
  <w:style w:type="character" w:styleId="AcronymeHTML">
    <w:name w:val="HTML Acronym"/>
    <w:basedOn w:val="Policepardfaut"/>
  </w:style>
  <w:style w:type="paragraph" w:styleId="AdresseHTML">
    <w:name w:val="HTML Address"/>
    <w:basedOn w:val="Normal"/>
    <w:rPr>
      <w:i/>
      <w:iCs/>
    </w:rPr>
  </w:style>
  <w:style w:type="character" w:styleId="Appeldenotedefin">
    <w:name w:val="endnote reference"/>
    <w:semiHidden/>
    <w:rPr>
      <w:vertAlign w:val="superscript"/>
    </w:rPr>
  </w:style>
  <w:style w:type="character" w:styleId="Appelnotedebasdep">
    <w:name w:val="footnote reference"/>
    <w:semiHidden/>
    <w:rPr>
      <w:vertAlign w:val="superscript"/>
    </w:rPr>
  </w:style>
  <w:style w:type="character" w:styleId="CitationHTML">
    <w:name w:val="HTML Cite"/>
    <w:rPr>
      <w:i/>
      <w:iCs/>
    </w:rPr>
  </w:style>
  <w:style w:type="character" w:styleId="ClavierHTML">
    <w:name w:val="HTML Keyboard"/>
    <w:rPr>
      <w:rFonts w:ascii="Courier New" w:hAnsi="Courier New"/>
      <w:sz w:val="20"/>
      <w:szCs w:val="20"/>
    </w:rPr>
  </w:style>
  <w:style w:type="character" w:styleId="CodeHTML">
    <w:name w:val="HTML Code"/>
    <w:rPr>
      <w:rFonts w:ascii="Courier New" w:hAnsi="Courier New"/>
      <w:sz w:val="20"/>
      <w:szCs w:val="20"/>
    </w:rPr>
  </w:style>
  <w:style w:type="paragraph" w:styleId="Commentaire">
    <w:name w:val="annotation text"/>
    <w:basedOn w:val="Normal"/>
    <w:semiHidden/>
  </w:style>
  <w:style w:type="paragraph" w:styleId="Corpsdetexte">
    <w:name w:val="Body Text"/>
    <w:basedOn w:val="Normal"/>
  </w:style>
  <w:style w:type="character" w:styleId="DfinitionHTML">
    <w:name w:val="HTML Definition"/>
    <w:rPr>
      <w:i/>
      <w:iCs/>
    </w:rPr>
  </w:style>
  <w:style w:type="character" w:styleId="lev">
    <w:name w:val="Strong"/>
    <w:qFormat/>
    <w:rPr>
      <w:b/>
      <w:bCs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styleId="ExempleHTML">
    <w:name w:val="HTML Sample"/>
    <w:rPr>
      <w:rFonts w:ascii="Courier New" w:hAnsi="Courier New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Lgende">
    <w:name w:val="caption"/>
    <w:basedOn w:val="Normal"/>
    <w:next w:val="Normal"/>
    <w:qFormat/>
    <w:pPr>
      <w:spacing w:after="120"/>
    </w:pPr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character" w:styleId="MachinecrireHTML">
    <w:name w:val="HTML Typewriter"/>
    <w:rPr>
      <w:rFonts w:ascii="Courier New" w:hAnsi="Courier New"/>
      <w:sz w:val="20"/>
      <w:szCs w:val="20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edebasdepage">
    <w:name w:val="footnote text"/>
    <w:basedOn w:val="Normal"/>
    <w:semiHidden/>
  </w:style>
  <w:style w:type="paragraph" w:styleId="Notedefin">
    <w:name w:val="endnote text"/>
    <w:basedOn w:val="Normal"/>
    <w:semiHidden/>
  </w:style>
  <w:style w:type="character" w:styleId="Numrodeligne">
    <w:name w:val="line number"/>
    <w:basedOn w:val="Policepardfaut"/>
  </w:style>
  <w:style w:type="paragraph" w:styleId="PrformatHTML">
    <w:name w:val="HTML Preformatted"/>
    <w:basedOn w:val="Normal"/>
    <w:rPr>
      <w:rFonts w:ascii="Courier New" w:hAnsi="Courier New" w:cs="Courier New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normal">
    <w:name w:val="Normal Indent"/>
    <w:basedOn w:val="Normal"/>
    <w:pPr>
      <w:ind w:left="708"/>
    </w:pPr>
  </w:style>
  <w:style w:type="paragraph" w:styleId="Tabledesillustrations">
    <w:name w:val="table of figures"/>
    <w:basedOn w:val="Normal"/>
    <w:next w:val="Normal"/>
    <w:semiHidden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extebrut">
    <w:name w:val="Plain Text"/>
    <w:basedOn w:val="Normal"/>
    <w:rPr>
      <w:rFonts w:ascii="Courier New" w:hAnsi="Courier New" w:cs="Courier New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ourier New" w:hAnsi="Courier New" w:cs="Courier New"/>
      <w:lang w:eastAsia="tg"/>
    </w:rPr>
  </w:style>
  <w:style w:type="paragraph" w:styleId="Titredenote">
    <w:name w:val="Note Heading"/>
    <w:basedOn w:val="Normal"/>
    <w:next w:val="Normal"/>
  </w:style>
  <w:style w:type="character" w:styleId="VariableHTML">
    <w:name w:val="HTML Variable"/>
    <w:rPr>
      <w:i/>
      <w:iCs/>
    </w:rPr>
  </w:style>
  <w:style w:type="table" w:styleId="Grilledutableau">
    <w:name w:val="Table Grid"/>
    <w:basedOn w:val="TableauNormal"/>
    <w:rsid w:val="00FC0C19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A35DB"/>
    <w:rPr>
      <w:rFonts w:ascii="Tahoma" w:hAnsi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5A35DB"/>
    <w:rPr>
      <w:b/>
      <w:bCs/>
    </w:rPr>
  </w:style>
  <w:style w:type="character" w:customStyle="1" w:styleId="hps">
    <w:name w:val="hps"/>
    <w:basedOn w:val="Policepardfaut"/>
    <w:rsid w:val="00B60CBC"/>
  </w:style>
  <w:style w:type="character" w:customStyle="1" w:styleId="shorttext">
    <w:name w:val="shorttext"/>
    <w:basedOn w:val="Policepardfaut"/>
    <w:rsid w:val="00B60CBC"/>
  </w:style>
  <w:style w:type="paragraph" w:customStyle="1" w:styleId="BodyText27">
    <w:name w:val="Body Text 27"/>
    <w:basedOn w:val="Normal"/>
    <w:rsid w:val="00F93394"/>
    <w:pPr>
      <w:widowControl/>
      <w:tabs>
        <w:tab w:val="left" w:pos="709"/>
      </w:tabs>
      <w:ind w:left="708"/>
    </w:pPr>
    <w:rPr>
      <w:sz w:val="22"/>
      <w:lang w:val="fr-FR" w:eastAsia="fr-FR"/>
    </w:rPr>
  </w:style>
  <w:style w:type="paragraph" w:styleId="Paragraphedeliste">
    <w:name w:val="List Paragraph"/>
    <w:basedOn w:val="Normal"/>
    <w:uiPriority w:val="34"/>
    <w:qFormat/>
    <w:rsid w:val="00734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20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E1B13-AF01-409C-A05F-B10805D9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vide</vt:lpstr>
    </vt:vector>
  </TitlesOfParts>
  <Company>UP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vide</dc:title>
  <dc:subject/>
  <dc:creator>u13124</dc:creator>
  <cp:keywords/>
  <cp:lastModifiedBy>GRESSOT JOHAN  (U19346)</cp:lastModifiedBy>
  <cp:revision>2</cp:revision>
  <cp:lastPrinted>2020-11-30T11:37:00Z</cp:lastPrinted>
  <dcterms:created xsi:type="dcterms:W3CDTF">2022-08-09T13:59:00Z</dcterms:created>
  <dcterms:modified xsi:type="dcterms:W3CDTF">2022-08-09T13:59:00Z</dcterms:modified>
</cp:coreProperties>
</file>